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504950" cy="1381125"/>
            <wp:effectExtent l="0" t="0" r="0" b="9525"/>
            <wp:docPr id="1" name="图片 1" descr="ScreenShot0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01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舟  山  市  审  计  局</w:t>
      </w:r>
    </w:p>
    <w:p>
      <w:pPr>
        <w:pStyle w:val="4"/>
        <w:snapToGrid w:val="0"/>
        <w:spacing w:line="240" w:lineRule="atLeast"/>
        <w:rPr>
          <w:rFonts w:hint="eastAsia" w:eastAsia="长城小标宋体"/>
          <w:b/>
          <w:bCs/>
          <w:sz w:val="13"/>
        </w:rPr>
      </w:pPr>
    </w:p>
    <w:p>
      <w:pPr>
        <w:pStyle w:val="4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</w:p>
    <w:p>
      <w:pPr>
        <w:pStyle w:val="4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  <w:r>
        <w:rPr>
          <w:rFonts w:eastAsia="长城小标宋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97790</wp:posOffset>
                </wp:positionV>
                <wp:extent cx="7577455" cy="1099185"/>
                <wp:effectExtent l="0" t="0" r="4445" b="571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577455" cy="109918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</w:pPr>
                            <w:r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  <w:t>审计结果公告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05pt;margin-top:7.7pt;height:86.55pt;width:596.65pt;mso-wrap-distance-bottom:0pt;mso-wrap-distance-top:0pt;z-index:251659264;mso-width-relative:page;mso-height-relative:page;" fillcolor="#333399" filled="t" stroked="f" coordsize="21600,21600" o:gfxdata="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4dBpK9wAAAAMAQAADwAAAAAAAAABACAAAAA4AAAAZHJzL2Rvd25y&#10;ZXYueG1sUEsBAhQAFAAAAAgAh07iQLn9zKyrAQAAMAMAAA4AAAAAAAAAAQAgAAAAQQ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</w:pPr>
                      <w:r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  <w:t>审计结果公告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长城小标宋体"/>
          <w:b/>
          <w:bCs/>
          <w:sz w:val="36"/>
        </w:rPr>
        <w:t>ZH</w:t>
      </w:r>
      <w:r>
        <w:rPr>
          <w:rFonts w:hint="eastAsia" w:ascii="Times New Roman" w:eastAsia="长城小标宋体"/>
          <w:b/>
          <w:bCs/>
          <w:sz w:val="36"/>
        </w:rPr>
        <w:t>OUSHANSHI</w:t>
      </w:r>
      <w:r>
        <w:rPr>
          <w:rFonts w:ascii="Times New Roman" w:eastAsia="长城小标宋体"/>
          <w:b/>
          <w:bCs/>
          <w:sz w:val="36"/>
        </w:rPr>
        <w:t xml:space="preserve">  SHEN</w:t>
      </w:r>
      <w:r>
        <w:rPr>
          <w:rFonts w:hint="eastAsia" w:ascii="Times New Roman" w:eastAsia="长城小标宋体"/>
          <w:b/>
          <w:bCs/>
          <w:sz w:val="36"/>
        </w:rPr>
        <w:t>JI</w:t>
      </w:r>
      <w:r>
        <w:rPr>
          <w:rFonts w:ascii="Times New Roman" w:eastAsia="长城小标宋体"/>
          <w:b/>
          <w:bCs/>
          <w:sz w:val="36"/>
        </w:rPr>
        <w:t>J</w:t>
      </w:r>
      <w:r>
        <w:rPr>
          <w:rFonts w:hint="eastAsia" w:ascii="Times New Roman" w:eastAsia="长城小标宋体"/>
          <w:b/>
          <w:bCs/>
          <w:sz w:val="36"/>
        </w:rPr>
        <w:t>U</w:t>
      </w:r>
    </w:p>
    <w:p>
      <w:pPr>
        <w:pStyle w:val="4"/>
        <w:adjustRightInd w:val="0"/>
        <w:snapToGrid w:val="0"/>
        <w:jc w:val="center"/>
        <w:rPr>
          <w:sz w:val="36"/>
        </w:rPr>
      </w:pPr>
      <w:r>
        <w:rPr>
          <w:rFonts w:ascii="Times New Roman" w:eastAsia="长城小标宋体"/>
          <w:b/>
          <w:bCs/>
          <w:sz w:val="36"/>
        </w:rPr>
        <w:t>SHENJI  JIEGUO  GONGGAO</w:t>
      </w:r>
    </w:p>
    <w:p>
      <w:pPr>
        <w:jc w:val="center"/>
        <w:rPr>
          <w:rFonts w:hint="eastAsia" w:ascii="仿宋_GB2312" w:eastAsia="长城小标宋体"/>
          <w:b/>
          <w:bCs/>
          <w:sz w:val="36"/>
        </w:rPr>
      </w:pPr>
      <w:bookmarkStart w:id="0" w:name="_GoBack"/>
      <w:r>
        <w:rPr>
          <w:rFonts w:hint="eastAsia" w:ascii="仿宋_GB2312" w:eastAsia="长城小标宋体"/>
          <w:b/>
          <w:bCs/>
          <w:sz w:val="36"/>
        </w:rPr>
        <w:t>舟审公告〔202</w:t>
      </w:r>
      <w:r>
        <w:rPr>
          <w:rFonts w:hint="eastAsia" w:ascii="仿宋_GB2312" w:eastAsia="长城小标宋体"/>
          <w:b/>
          <w:bCs/>
          <w:sz w:val="36"/>
          <w:lang w:val="en-US" w:eastAsia="zh-CN"/>
        </w:rPr>
        <w:t>4</w:t>
      </w:r>
      <w:r>
        <w:rPr>
          <w:rFonts w:hint="eastAsia" w:ascii="仿宋_GB2312" w:eastAsia="长城小标宋体"/>
          <w:b/>
          <w:bCs/>
          <w:sz w:val="36"/>
        </w:rPr>
        <w:t>〕</w:t>
      </w:r>
      <w:r>
        <w:rPr>
          <w:rFonts w:hint="eastAsia" w:ascii="仿宋_GB2312" w:eastAsia="长城小标宋体"/>
          <w:b/>
          <w:bCs/>
          <w:sz w:val="36"/>
          <w:lang w:val="en-US" w:eastAsia="zh-CN"/>
        </w:rPr>
        <w:t>5</w:t>
      </w:r>
      <w:r>
        <w:rPr>
          <w:rFonts w:hint="eastAsia" w:ascii="仿宋_GB2312" w:eastAsia="长城小标宋体"/>
          <w:b/>
          <w:bCs/>
          <w:sz w:val="36"/>
        </w:rPr>
        <w:t>号</w:t>
      </w:r>
    </w:p>
    <w:bookmarkEnd w:id="0"/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  <w:r>
        <w:rPr>
          <w:rFonts w:hint="eastAsia" w:ascii="楷体_GB2312" w:hAnsi="宋体" w:eastAsia="长城小标宋体"/>
          <w:b/>
          <w:bCs/>
          <w:sz w:val="36"/>
        </w:rPr>
        <w:t>（总第</w:t>
      </w:r>
      <w:r>
        <w:rPr>
          <w:rFonts w:hint="eastAsia" w:ascii="楷体_GB2312" w:hAnsi="宋体" w:eastAsia="长城小标宋体"/>
          <w:b/>
          <w:bCs/>
          <w:sz w:val="36"/>
          <w:lang w:val="en-US" w:eastAsia="zh-CN"/>
        </w:rPr>
        <w:t xml:space="preserve"> 201</w:t>
      </w:r>
      <w:r>
        <w:rPr>
          <w:rFonts w:hint="eastAsia" w:ascii="楷体_GB2312" w:hAnsi="宋体" w:eastAsia="长城小标宋体"/>
          <w:b/>
          <w:bCs/>
          <w:sz w:val="36"/>
        </w:rPr>
        <w:t>号）</w:t>
      </w: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spacing w:line="560" w:lineRule="exact"/>
        <w:jc w:val="both"/>
        <w:rPr>
          <w:rFonts w:hint="eastAsia" w:eastAsia="黑体"/>
          <w:sz w:val="36"/>
        </w:rPr>
      </w:pPr>
    </w:p>
    <w:p>
      <w:pPr>
        <w:spacing w:line="56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舟山市审计局办公室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定海区“8+4”政策体系重点任务（先进制造业要素保障）推进情况专项审计调查结果</w:t>
      </w:r>
    </w:p>
    <w:p>
      <w:pPr>
        <w:snapToGrid w:val="0"/>
        <w:jc w:val="center"/>
        <w:rPr>
          <w:rFonts w:hint="eastAsia" w:ascii="宋体" w:hAnsi="宋体" w:eastAsia="楷体_GB2312"/>
        </w:rPr>
      </w:pPr>
    </w:p>
    <w:p>
      <w:pPr>
        <w:snapToGrid w:val="0"/>
        <w:jc w:val="center"/>
        <w:rPr>
          <w:rFonts w:hint="eastAsia" w:ascii="仿宋_GB2312" w:hAnsi="宋体" w:eastAsia="仿宋_GB2312"/>
          <w:sz w:val="32"/>
          <w:szCs w:val="20"/>
        </w:rPr>
      </w:pPr>
      <w:r>
        <w:rPr>
          <w:rFonts w:hint="eastAsia" w:ascii="仿宋_GB2312" w:hAnsi="宋体" w:eastAsia="仿宋_GB2312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5600700" cy="0"/>
                <wp:effectExtent l="0" t="9525" r="0" b="9525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4.3pt;height:0pt;width:441pt;mso-wrap-distance-bottom:0pt;mso-wrap-distance-top:0pt;z-index:251660288;mso-width-relative:page;mso-height-relative:page;" filled="f" stroked="t" coordsize="21600,21600" o:gfxdata="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KI/LlNIAAAAGAQAADwAAAAAAAAABACAAAAA4AAAAZHJzL2Rvd25yZXYueG1sUEsBAhQAFAAAAAgA&#10;h07iQFaQdCLcAQAAmgMAAA4AAAAAAAAAAQAgAAAANwEAAGRycy9lMm9Eb2MueG1sUEsFBgAAAAAG&#10;AAYAWQEAAIUFAAAAAA==&#10;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20"/>
        </w:rPr>
        <w:t>（202</w:t>
      </w:r>
      <w:r>
        <w:rPr>
          <w:rFonts w:hint="eastAsia" w:ascii="仿宋_GB2312" w:hAnsi="宋体"/>
          <w:sz w:val="32"/>
          <w:szCs w:val="20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20"/>
        </w:rPr>
        <w:t>年</w:t>
      </w:r>
      <w:r>
        <w:rPr>
          <w:rFonts w:hint="eastAsia" w:ascii="仿宋_GB2312" w:hAnsi="宋体"/>
          <w:sz w:val="32"/>
          <w:szCs w:val="20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20"/>
        </w:rPr>
        <w:t>月</w:t>
      </w:r>
      <w:r>
        <w:rPr>
          <w:rFonts w:hint="eastAsia" w:ascii="仿宋_GB2312" w:hAnsi="宋体"/>
          <w:sz w:val="32"/>
          <w:szCs w:val="20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20"/>
        </w:rPr>
        <w:t>日公告）</w:t>
      </w:r>
    </w:p>
    <w:p>
      <w:pPr>
        <w:jc w:val="center"/>
        <w:rPr>
          <w:rFonts w:hint="eastAsia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/>
          <w:szCs w:val="32"/>
        </w:rPr>
        <w:t>根据《中华人民共和国审计法》第二十九条的规定，舟山市审计局派出审计组，自2023年8月28日至10月20日，对定海区制造业高质量发展要素保障情况进行了专项审计调查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。现将审计结果公告如下：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0"/>
        <w:textAlignment w:val="auto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调查事项的</w:t>
      </w:r>
      <w:r>
        <w:rPr>
          <w:rFonts w:hint="eastAsia" w:ascii="黑体" w:hAnsi="黑体" w:eastAsia="黑体"/>
        </w:rPr>
        <w:t>基本情况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4"/>
        <w:textAlignment w:val="auto"/>
        <w:rPr>
          <w:rFonts w:ascii="仿宋_GB2312" w:hAnsi="仿宋_GB2312"/>
          <w:color w:val="000000"/>
          <w:szCs w:val="32"/>
        </w:rPr>
      </w:pPr>
      <w:r>
        <w:rPr>
          <w:rFonts w:hint="eastAsia" w:ascii="仿宋_GB2312" w:hAnsi="仿宋_GB2312"/>
          <w:color w:val="000000"/>
          <w:szCs w:val="32"/>
        </w:rPr>
        <w:t>2023年以来，定海区政府认真贯彻省委、省政府促进制造业高质量发展的决策部署，制定出台了《舟山市定海区“143”海洋特色制造业集群建设行动方案（2023-2027年）》（定政办发〔2023〕17号）《舟山市定海区“143”海洋特色制造业集群培育工程和新一轮制造业“腾笼换鸟、凤凰涅槃</w:t>
      </w:r>
      <w:r>
        <w:rPr>
          <w:rFonts w:hint="eastAsia" w:ascii="仿宋_GB2312" w:hAnsi="仿宋_GB2312" w:cs="仿宋_GB2312"/>
          <w:color w:val="000000"/>
          <w:szCs w:val="32"/>
        </w:rPr>
        <w:t>”攻坚行动</w:t>
      </w:r>
      <w:r>
        <w:rPr>
          <w:rFonts w:hint="eastAsia" w:ascii="仿宋_GB2312" w:hAnsi="仿宋_GB2312"/>
          <w:color w:val="000000"/>
          <w:szCs w:val="32"/>
        </w:rPr>
        <w:t>2023年工作要点》（定制高办〔2023〕5号）等一系列政策措施，明确了本地区制造业高质量发展的方向和重点，加强制造业高质量发展要素保障。</w:t>
      </w:r>
    </w:p>
    <w:p>
      <w:pPr>
        <w:keepNext w:val="0"/>
        <w:keepLines w:val="0"/>
        <w:pageBreakBefore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06" w:firstLineChars="200"/>
        <w:textAlignment w:val="auto"/>
        <w:rPr>
          <w:rFonts w:ascii="仿宋_GB2312" w:hAnsi="Calibri"/>
          <w:b/>
          <w:bCs/>
          <w:szCs w:val="32"/>
        </w:rPr>
      </w:pPr>
      <w:r>
        <w:rPr>
          <w:rFonts w:hint="eastAsia" w:ascii="仿宋_GB2312" w:hAnsi="仿宋_GB2312"/>
          <w:color w:val="000000" w:themeColor="text1"/>
          <w14:textFill>
            <w14:solidFill>
              <w14:schemeClr w14:val="tx1"/>
            </w14:solidFill>
          </w14:textFill>
        </w:rPr>
        <w:t>2023年1-8月，定海区实现规上产值333.9亿，同比增速14%，实现规上工业增加值69.6亿元，同比增速14.7%，完成工业投资</w:t>
      </w:r>
      <w:r>
        <w:rPr>
          <w:rFonts w:hint="eastAsia" w:ascii="仿宋_GB2312" w:hAnsi="仿宋_GB2312" w:cs="仿宋_GB2312"/>
          <w:szCs w:val="32"/>
        </w:rPr>
        <w:t>46.99</w:t>
      </w:r>
      <w:r>
        <w:rPr>
          <w:rFonts w:hint="eastAsia" w:ascii="仿宋_GB2312" w:hAnsi="仿宋_GB2312"/>
          <w:color w:val="000000" w:themeColor="text1"/>
          <w14:textFill>
            <w14:solidFill>
              <w14:schemeClr w14:val="tx1"/>
            </w14:solidFill>
          </w14:textFill>
        </w:rPr>
        <w:t>亿元，同比增长42.5%，</w:t>
      </w:r>
      <w:r>
        <w:rPr>
          <w:rFonts w:hint="eastAsia" w:ascii="仿宋_GB2312" w:hAnsi="仿宋_GB2312" w:cs="仿宋_GB2312"/>
          <w:szCs w:val="32"/>
        </w:rPr>
        <w:t>其中制造业投资36.9亿，同比增长57.6%。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Chars="0"/>
        <w:textAlignment w:val="auto"/>
        <w:rPr>
          <w:rFonts w:ascii="黑体" w:hAnsi="黑体" w:eastAsia="黑体"/>
          <w:szCs w:val="32"/>
        </w:rPr>
      </w:pPr>
      <w:r>
        <w:rPr>
          <w:rFonts w:ascii="黑体" w:hAnsi="黑体" w:eastAsia="黑体"/>
          <w:color w:val="000000"/>
          <w:szCs w:val="32"/>
        </w:rPr>
        <w:t>审计评价</w:t>
      </w:r>
      <w:r>
        <w:rPr>
          <w:rFonts w:hint="eastAsia" w:ascii="黑体" w:hAnsi="黑体" w:eastAsia="黑体"/>
          <w:szCs w:val="32"/>
        </w:rPr>
        <w:t>意见</w:t>
      </w:r>
    </w:p>
    <w:p>
      <w:pPr>
        <w:keepNext w:val="0"/>
        <w:keepLines w:val="0"/>
        <w:pageBreakBefore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06" w:firstLineChars="200"/>
        <w:textAlignment w:val="auto"/>
        <w:rPr>
          <w:rFonts w:ascii="仿宋_GB2312" w:hAnsi="仿宋_GB2312"/>
          <w:color w:val="000000"/>
        </w:rPr>
      </w:pPr>
      <w:r>
        <w:rPr>
          <w:rFonts w:hint="eastAsia" w:ascii="仿宋_GB2312" w:hAnsi="Calibri"/>
          <w:szCs w:val="32"/>
          <w:lang w:val="en-US" w:eastAsia="zh-CN"/>
        </w:rPr>
        <w:t>2023年以来，</w:t>
      </w:r>
      <w:r>
        <w:rPr>
          <w:rFonts w:hint="eastAsia" w:ascii="仿宋_GB2312" w:hAnsi="Calibri"/>
          <w:szCs w:val="32"/>
        </w:rPr>
        <w:t>定海区人民政府</w:t>
      </w:r>
      <w:r>
        <w:rPr>
          <w:rFonts w:hint="eastAsia" w:ascii="仿宋_GB2312" w:hAnsi="仿宋_GB2312"/>
          <w:color w:val="000000"/>
          <w:szCs w:val="32"/>
        </w:rPr>
        <w:t>贯彻省委、省政府促进制造业高质量发展的决策部署，政策保障持续强化，产业链建设稳步提升</w:t>
      </w:r>
      <w:r>
        <w:rPr>
          <w:rFonts w:hint="eastAsia" w:ascii="仿宋_GB2312" w:hAnsi="仿宋_GB2312"/>
          <w:color w:val="000000"/>
          <w:szCs w:val="32"/>
          <w:lang w:eastAsia="zh-CN"/>
        </w:rPr>
        <w:t>，要素保障持续深化，企业发展日益壮大，人才保障持续优化，创新攻坚有所突破。</w:t>
      </w:r>
      <w:r>
        <w:rPr>
          <w:rFonts w:hint="eastAsia" w:ascii="仿宋_GB2312" w:hAnsi="仿宋_GB2312"/>
          <w:color w:val="000000"/>
        </w:rPr>
        <w:t>但审计调查也发现，定海区在先进制造业产业培育、财政金融要素保障、能源要素保障、人才要素保障等方面存在一些问题，需进一步引起重视并加以改进。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6" w:firstLineChars="200"/>
        <w:textAlignment w:val="auto"/>
        <w:rPr>
          <w:rFonts w:ascii="黑体" w:hAnsi="黑体" w:eastAsia="黑体" w:cs="黑体"/>
          <w:szCs w:val="32"/>
          <w:lang w:val="en"/>
        </w:rPr>
      </w:pPr>
      <w:r>
        <w:rPr>
          <w:rFonts w:hint="eastAsia" w:ascii="黑体" w:hAnsi="黑体" w:eastAsia="黑体" w:cs="黑体"/>
          <w:szCs w:val="32"/>
          <w:lang w:val="en"/>
        </w:rPr>
        <w:t>三、审计发现的主要问题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6" w:firstLineChars="200"/>
        <w:textAlignment w:val="auto"/>
        <w:rPr>
          <w:rFonts w:ascii="楷体_GB2312" w:hAnsi="楷体_GB2312" w:eastAsia="楷体_GB2312" w:cs="楷体_GB2312"/>
          <w:bCs/>
          <w:szCs w:val="32"/>
          <w:lang w:val="en"/>
        </w:rPr>
      </w:pPr>
      <w:r>
        <w:rPr>
          <w:rFonts w:hint="eastAsia" w:ascii="楷体_GB2312" w:hAnsi="楷体_GB2312" w:eastAsia="楷体_GB2312" w:cs="楷体_GB2312"/>
          <w:bCs/>
          <w:szCs w:val="32"/>
          <w:lang w:val="en"/>
        </w:rPr>
        <w:t>（一）先进制造业产业培育方面的问题。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6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一是定海区</w:t>
      </w:r>
      <w:r>
        <w:rPr>
          <w:rFonts w:hint="eastAsia" w:ascii="仿宋_GB2312" w:hAnsi="仿宋_GB2312" w:cs="仿宋_GB2312"/>
          <w:szCs w:val="32"/>
        </w:rPr>
        <w:t>工业用地改造提升项目改造后容积率目标值与上级文件规定不符。</w:t>
      </w:r>
      <w:r>
        <w:rPr>
          <w:rFonts w:hint="eastAsia" w:ascii="仿宋_GB2312" w:hAnsi="仿宋_GB2312" w:cs="仿宋_GB2312"/>
          <w:szCs w:val="32"/>
          <w:lang w:val="en-US" w:eastAsia="zh-CN"/>
        </w:rPr>
        <w:t>二是</w:t>
      </w:r>
      <w:r>
        <w:rPr>
          <w:rFonts w:hint="eastAsia" w:ascii="仿宋_GB2312" w:hAnsi="仿宋_GB2312" w:cs="仿宋_GB2312"/>
          <w:szCs w:val="32"/>
        </w:rPr>
        <w:t>部分已完工制造业投资项目实际总投资不足申报时计划总投资的50%。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6" w:firstLineChars="200"/>
        <w:textAlignment w:val="auto"/>
        <w:rPr>
          <w:rFonts w:hint="eastAsia" w:ascii="楷体_GB2312" w:hAnsi="楷体_GB2312" w:eastAsia="楷体_GB2312" w:cs="楷体_GB2312"/>
          <w:bCs/>
          <w:szCs w:val="32"/>
          <w:lang w:val="en"/>
        </w:rPr>
      </w:pPr>
      <w:r>
        <w:rPr>
          <w:rFonts w:hint="eastAsia" w:ascii="楷体_GB2312" w:hAnsi="楷体_GB2312" w:eastAsia="楷体_GB2312" w:cs="楷体_GB2312"/>
          <w:bCs/>
          <w:szCs w:val="32"/>
          <w:lang w:val="en"/>
        </w:rPr>
        <w:t>先进制造业财政金融要素保障方面的问题。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6" w:firstLineChars="200"/>
        <w:textAlignment w:val="auto"/>
        <w:rPr>
          <w:rFonts w:hint="default" w:ascii="仿宋_GB2312" w:hAnsi="仿宋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一是2023年先进制造业财政支持力度较上年未有增加。二是两项资金管理办法未按照区政府出台的政策制定。三是部分专项资金申报审核不严格。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院地合作项目管理不规范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6" w:firstLineChars="200"/>
        <w:textAlignment w:val="auto"/>
        <w:rPr>
          <w:rFonts w:ascii="楷体_GB2312" w:hAnsi="楷体_GB2312" w:eastAsia="楷体_GB2312" w:cs="楷体_GB2312"/>
          <w:bCs/>
          <w:szCs w:val="32"/>
          <w:lang w:val="en"/>
        </w:rPr>
      </w:pPr>
      <w:r>
        <w:rPr>
          <w:rFonts w:hint="eastAsia" w:ascii="楷体_GB2312" w:hAnsi="楷体_GB2312" w:eastAsia="楷体_GB2312" w:cs="楷体_GB2312"/>
          <w:bCs/>
          <w:szCs w:val="32"/>
          <w:lang w:val="en"/>
        </w:rPr>
        <w:t>（三）先进制造业能源要素保障方面的问题。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3个项目节能批复晚于开工时间。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6" w:firstLineChars="200"/>
        <w:textAlignment w:val="auto"/>
        <w:rPr>
          <w:rFonts w:hint="eastAsia" w:ascii="楷体_GB2312" w:hAnsi="楷体_GB2312" w:eastAsia="楷体_GB2312" w:cs="楷体_GB2312"/>
          <w:bCs/>
          <w:szCs w:val="32"/>
          <w:lang w:val="en"/>
        </w:rPr>
      </w:pPr>
      <w:r>
        <w:rPr>
          <w:rFonts w:hint="eastAsia" w:ascii="楷体_GB2312" w:hAnsi="楷体_GB2312" w:eastAsia="楷体_GB2312" w:cs="楷体_GB2312"/>
          <w:bCs/>
          <w:szCs w:val="32"/>
          <w:lang w:val="en" w:eastAsia="zh-CN"/>
        </w:rPr>
        <w:t>（</w:t>
      </w:r>
      <w:r>
        <w:rPr>
          <w:rFonts w:hint="eastAsia" w:ascii="楷体_GB2312" w:hAnsi="楷体_GB2312" w:eastAsia="楷体_GB2312" w:cs="楷体_GB2312"/>
          <w:bCs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Cs/>
          <w:szCs w:val="32"/>
          <w:lang w:val="en" w:eastAsia="zh-CN"/>
        </w:rPr>
        <w:t>）</w:t>
      </w:r>
      <w:r>
        <w:rPr>
          <w:rFonts w:hint="eastAsia" w:ascii="楷体_GB2312" w:hAnsi="楷体_GB2312" w:eastAsia="楷体_GB2312" w:cs="楷体_GB2312"/>
          <w:bCs/>
          <w:szCs w:val="32"/>
          <w:lang w:val="en"/>
        </w:rPr>
        <w:t>先进制造业人才要素保障方面的问题。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6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未及时收回3名已停止在舟参保人员公共租赁房。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2023年度民办培训机构职业技能培训补贴533.73万元未及时审核发放。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违规发放职业技能提升类补贴6800元。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“项目制”培训未有效组织开展。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职业技能培训工种覆盖面窄，制造业工匠类培训缺少。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四、审计发现问题的整改情况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600" w:lineRule="exact"/>
        <w:ind w:left="0" w:leftChars="0" w:firstLine="604"/>
        <w:textAlignment w:val="auto"/>
        <w:rPr>
          <w:rFonts w:ascii="仿宋_GB2312"/>
        </w:rPr>
        <w:sectPr>
          <w:footerReference r:id="rId3" w:type="default"/>
          <w:footerReference r:id="rId4" w:type="even"/>
          <w:type w:val="continuous"/>
          <w:pgSz w:w="11907" w:h="16840"/>
          <w:pgMar w:top="2098" w:right="1531" w:bottom="1985" w:left="1701" w:header="851" w:footer="1418" w:gutter="0"/>
          <w:cols w:space="425" w:num="1"/>
          <w:formProt w:val="0"/>
          <w:docGrid w:type="linesAndChars" w:linePitch="579" w:charSpace="-3686"/>
        </w:sectPr>
      </w:pPr>
      <w:r>
        <w:rPr>
          <w:rFonts w:hint="eastAsia" w:ascii="仿宋_GB2312" w:hAnsi="仿宋_GB2312" w:cs="仿宋_GB2312"/>
          <w:szCs w:val="32"/>
          <w:lang w:eastAsia="zh-CN"/>
        </w:rPr>
        <w:t>审计指出上述问题后，</w:t>
      </w:r>
      <w:r>
        <w:rPr>
          <w:rFonts w:hint="eastAsia" w:ascii="仿宋_GB2312" w:hAnsi="仿宋_GB2312" w:cs="仿宋_GB2312"/>
          <w:szCs w:val="32"/>
          <w:lang w:val="en-US" w:eastAsia="zh-CN"/>
        </w:rPr>
        <w:t>定海区人民政府</w:t>
      </w:r>
      <w:r>
        <w:rPr>
          <w:rFonts w:hint="eastAsia" w:ascii="仿宋_GB2312" w:hAnsi="仿宋_GB2312" w:cs="仿宋_GB2312"/>
          <w:szCs w:val="32"/>
        </w:rPr>
        <w:t>高度重视审计发现问题的整改工作，</w:t>
      </w:r>
      <w:r>
        <w:rPr>
          <w:rFonts w:hint="eastAsia" w:ascii="仿宋_GB2312" w:hAnsi="仿宋_GB2312" w:cs="仿宋_GB2312"/>
          <w:szCs w:val="32"/>
          <w:lang w:eastAsia="zh-CN"/>
        </w:rPr>
        <w:t>已完成部分问题整改，其余问题</w:t>
      </w:r>
      <w:r>
        <w:rPr>
          <w:rFonts w:hint="eastAsia" w:ascii="仿宋_GB2312" w:hAnsi="仿宋_GB2312" w:cs="仿宋_GB2312"/>
          <w:szCs w:val="32"/>
        </w:rPr>
        <w:t>正在积极整改中。我局将持续跟踪审计整改情况。</w:t>
      </w:r>
    </w:p>
    <w:p/>
    <w:p>
      <w:pPr>
        <w:ind w:right="18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outlineLvl w:val="0"/>
        <w:rPr>
          <w:rFonts w:hint="eastAsia" w:ascii="仿宋_GB2312"/>
        </w:rPr>
      </w:pPr>
    </w:p>
    <w:sectPr>
      <w:footerReference r:id="rId5" w:type="default"/>
      <w:footerReference r:id="rId6" w:type="even"/>
      <w:pgSz w:w="11907" w:h="16840"/>
      <w:pgMar w:top="2098" w:right="1531" w:bottom="1985" w:left="1701" w:header="851" w:footer="1418" w:gutter="0"/>
      <w:cols w:space="425" w:num="1"/>
      <w:formProt w:val="0"/>
      <w:docGrid w:type="linesAndChars"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1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2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3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2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F3DBF2"/>
    <w:multiLevelType w:val="singleLevel"/>
    <w:tmpl w:val="68F3DBF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17627"/>
    <w:multiLevelType w:val="multilevel"/>
    <w:tmpl w:val="6AE17627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true"/>
  <w:drawingGridHorizontalSpacing w:val="151"/>
  <w:drawingGridVerticalSpacing w:val="579"/>
  <w:displayHorizontalDrawingGridEvery w:val="0"/>
  <w:displayVerticalDrawingGridEvery w:val="1"/>
  <w:doNotShadeFormData w:val="true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1798C"/>
    <w:rsid w:val="0017422C"/>
    <w:rsid w:val="001F7A37"/>
    <w:rsid w:val="0026400E"/>
    <w:rsid w:val="00305ADB"/>
    <w:rsid w:val="0049086E"/>
    <w:rsid w:val="00523DCE"/>
    <w:rsid w:val="005B3AE7"/>
    <w:rsid w:val="00614098"/>
    <w:rsid w:val="0064051B"/>
    <w:rsid w:val="006A0260"/>
    <w:rsid w:val="0078270E"/>
    <w:rsid w:val="007C26DE"/>
    <w:rsid w:val="00852DB2"/>
    <w:rsid w:val="008C6A50"/>
    <w:rsid w:val="009930BB"/>
    <w:rsid w:val="00995B67"/>
    <w:rsid w:val="009B0AF0"/>
    <w:rsid w:val="009F3F33"/>
    <w:rsid w:val="00A266BA"/>
    <w:rsid w:val="00A7061F"/>
    <w:rsid w:val="00C246FA"/>
    <w:rsid w:val="00CC4397"/>
    <w:rsid w:val="00CE0D09"/>
    <w:rsid w:val="00D826A6"/>
    <w:rsid w:val="00E656F3"/>
    <w:rsid w:val="1191798C"/>
    <w:rsid w:val="A51F59A8"/>
    <w:rsid w:val="FFEDA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link w:val="12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5">
    <w:name w:val="Body Text Indent"/>
    <w:basedOn w:val="1"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First Indent 2"/>
    <w:basedOn w:val="5"/>
    <w:next w:val="1"/>
    <w:qFormat/>
    <w:uiPriority w:val="99"/>
    <w:pPr>
      <w:spacing w:after="120"/>
      <w:ind w:left="420" w:leftChars="200" w:firstLine="0"/>
    </w:pPr>
    <w:rPr>
      <w:rFonts w:ascii="Calibri" w:hAnsi="Calibri" w:eastAsia="宋体" w:cs="Times New Roman"/>
      <w:sz w:val="21"/>
      <w:szCs w:val="24"/>
    </w:rPr>
  </w:style>
  <w:style w:type="paragraph" w:customStyle="1" w:styleId="12">
    <w:name w:val="Char"/>
    <w:basedOn w:val="1"/>
    <w:link w:val="11"/>
    <w:qFormat/>
    <w:uiPriority w:val="0"/>
    <w:rPr>
      <w:rFonts w:eastAsia="宋体"/>
    </w:rPr>
  </w:style>
  <w:style w:type="character" w:styleId="13">
    <w:name w:val="page number"/>
    <w:basedOn w:val="11"/>
    <w:qFormat/>
    <w:uiPriority w:val="0"/>
  </w:style>
  <w:style w:type="character" w:styleId="14">
    <w:name w:val="annotation reference"/>
    <w:basedOn w:val="11"/>
    <w:qFormat/>
    <w:uiPriority w:val="0"/>
    <w:rPr>
      <w:sz w:val="21"/>
    </w:rPr>
  </w:style>
  <w:style w:type="character" w:customStyle="1" w:styleId="15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6">
    <w:name w:val="Body Text First Indent 2"/>
    <w:basedOn w:val="17"/>
    <w:qFormat/>
    <w:uiPriority w:val="0"/>
    <w:pPr>
      <w:spacing w:after="120"/>
      <w:ind w:left="420" w:leftChars="200" w:firstLine="420" w:firstLineChars="200"/>
    </w:pPr>
  </w:style>
  <w:style w:type="paragraph" w:customStyle="1" w:styleId="17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htbrowser/C:\Users\Dell\Desktop\&#22320;&#24066;&#21306;&#21439;&#25910;&#38598;&#20844;&#25991;&#27169;&#26495;\9.0810.&#33311;&#23665;&#24066;&#23457;&#35745;&#23616;&#21450;&#21508;&#21439;&#21306;&#23457;&#35745;&#20844;&#25991;&#27169;&#22359;&#65288;&#26222;&#38464;&#21306;&#24050;&#21512;&#26684;&#65289;\&#33311;&#23665;&#24066;&#23457;&#35745;&#23616;&#20844;&#25991;&#27169;&#22359;\&#19994;&#21153;&#20844;&#25991;\&#23457;&#35745;&#31227;&#36865;&#22788;&#29702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2024-01-06T22:09:00Z</dcterms:created>
  <dc:creator>Nirvana</dc:creator>
  <cp:lastModifiedBy>徐英英</cp:lastModifiedBy>
  <cp:lastPrinted>2024-01-10T00:21:00Z</cp:lastPrinted>
  <dcterms:modified xsi:type="dcterms:W3CDTF">2024-02-23T16:56:02Z</dcterms:modified>
  <dc:subject>2006年度浙江省厅审计文书模板</dc:subject>
  <dc:title>审计署办公厅文件.dot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浙江省审计厅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  <property fmtid="{D5CDD505-2E9C-101B-9397-08002B2CF9AE}" pid="19" name="ICV">
    <vt:lpwstr>592615F614664EC0AF543CD8F19B6E4C</vt:lpwstr>
  </property>
  <property fmtid="{D5CDD505-2E9C-101B-9397-08002B2CF9AE}" pid="20" name="KSOProductBuildVer">
    <vt:lpwstr>2052-11.8.2.10386</vt:lpwstr>
  </property>
  <property fmtid="{D5CDD505-2E9C-101B-9397-08002B2CF9AE}" pid="21" name="docId">
    <vt:lpwstr/>
  </property>
  <property fmtid="{D5CDD505-2E9C-101B-9397-08002B2CF9AE}" pid="22" name="tempId">
    <vt:lpwstr>22wQOo9O5bSbgQg7zw8TAqQ.docx</vt:lpwstr>
  </property>
  <property fmtid="{D5CDD505-2E9C-101B-9397-08002B2CF9AE}" pid="23" name="uploadPath">
    <vt:lpwstr>https://oa.zjaudit.gov.cn:8443/file/34NXVu0dxdk69YHk6w4a0yFz.docx?keepMetaData=true&amp;type=wps&amp;NIID=true&amp;model=saveHist&amp;QINGGAOTYPE=FEIQINGGAO&amp;X-XSRF-TOKEN=f4bd3134279d62f350a10ab304ba0e3f&amp;X-DEVICE-NAME=@USER_CODE@&amp;OSS_FLAG=1</vt:lpwstr>
  </property>
  <property fmtid="{D5CDD505-2E9C-101B-9397-08002B2CF9AE}" pid="24" name="docName">
    <vt:lpwstr>审计移送处理书.docx</vt:lpwstr>
  </property>
  <property fmtid="{D5CDD505-2E9C-101B-9397-08002B2CF9AE}" pid="25" name="handleFileFlag">
    <vt:lpwstr>1</vt:lpwstr>
  </property>
  <property fmtid="{D5CDD505-2E9C-101B-9397-08002B2CF9AE}" pid="26" name="openType">
    <vt:lpwstr>0</vt:lpwstr>
  </property>
  <property fmtid="{D5CDD505-2E9C-101B-9397-08002B2CF9AE}" pid="27" name="showFlag">
    <vt:lpwstr>true</vt:lpwstr>
  </property>
  <property fmtid="{D5CDD505-2E9C-101B-9397-08002B2CF9AE}" pid="28" name="fileName">
    <vt:lpwstr>https://oa.zjaudit.gov.cn:8443/file/1y67Xh3CB4qVohhMHMHRVZTo.docx?type=wps&amp;OSS_FLAG=1</vt:lpwstr>
  </property>
  <property fmtid="{D5CDD505-2E9C-101B-9397-08002B2CF9AE}" pid="29" name="fileTextName">
    <vt:lpwstr>定海区“8+4”政策体系重点任务（先进制造业要素保障）推进情况专项审计调查结果公告.docx</vt:lpwstr>
  </property>
  <property fmtid="{D5CDD505-2E9C-101B-9397-08002B2CF9AE}" pid="30" name="orgDocId">
    <vt:lpwstr>1y67Xh3CB4qVohhMHMHRVZTo.docx</vt:lpwstr>
  </property>
  <property fmtid="{D5CDD505-2E9C-101B-9397-08002B2CF9AE}" pid="31" name="saveOriginFile">
    <vt:i4>3</vt:i4>
  </property>
  <property fmtid="{D5CDD505-2E9C-101B-9397-08002B2CF9AE}" pid="32" name="uploadNewPath">
    <vt:lpwstr>https://oa.zjaudit.gov.cn:8443/file?listener=OA_GW_GONGWEN&amp;hisType=ZHENGWEN&amp;fileFlowType=文印室&amp;ifGuiDang=1&amp;orgDocId=1y67Xh3CB4qVohhMHMHRVZTo.docx&amp;docId=1704788368750.307&amp;dataId=2XxGjaj5lakH2nC1CTxnIMMr&amp;fileName=定海区“8+4”政策体系重点任务（先进制造业要素保障）推进情况专项审计调查结果公告.docx&amp;itemCode=WENGAO&amp;keepMetaData=true&amp;type=wps&amp;NIID=33lK3jpBB9HUC6D6avNOb8&amp;servId=OA_GW_GONGWEN_TPB_YWFW_DS&amp;X-XSRF-TOKEN=f4bd3134279d62f350a10ab304ba0e3f&amp;X-DEVICE-NAME=@USER_CODE@&amp;OSS_FLAG=1</vt:lpwstr>
  </property>
  <property fmtid="{D5CDD505-2E9C-101B-9397-08002B2CF9AE}" pid="33" name="ribbonExt">
    <vt:lpwstr>{"WPSExtOfficeTab":{"OnGetEnabled":true,"OnGetVisible":true},"btnClearRevDoc":{"GetImage":"icon/clearComments.png","OnGetEnabled":true,"OnGetLabel":"清稿","OnGetVisible":true}}</vt:lpwstr>
  </property>
  <property fmtid="{D5CDD505-2E9C-101B-9397-08002B2CF9AE}" pid="34" name="close">
    <vt:lpwstr>true</vt:lpwstr>
  </property>
</Properties>
</file>